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contextualSpacing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>1</w:t>
      </w:r>
      <w:r>
        <w:rPr>
          <w:rFonts w:hint="eastAsia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>Univariate and multivariate analysis for OS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"/>
        <w:tblW w:w="934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1704"/>
        <w:gridCol w:w="1596"/>
        <w:gridCol w:w="874"/>
        <w:gridCol w:w="1503"/>
        <w:gridCol w:w="133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3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Clinical variables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mOS（months）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P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HR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95% CI</w:t>
            </w: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0.053 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0.717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1.299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0.316-5.344</w:t>
            </w: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Age,years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0.415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≤60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＞60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KPS scores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≤70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＞70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0.188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0.044-0.807</w:t>
            </w: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The first diagnosis is BM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0.832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NSCLC-BMs,months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0.643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＞6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Pathological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12.315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2.429-62.423</w:t>
            </w: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Neurological symptom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0.585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 of BMs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0.536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Epencephalon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Cerebrum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25.9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Epencephalon+Cerebrum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BMs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0.785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＞3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 size,cm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0.785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29.2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＞3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0.012 </w:t>
            </w: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3.043 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0.587-15.789</w:t>
            </w:r>
          </w:p>
        </w:tc>
        <w:tc>
          <w:tcPr>
            <w:tcW w:w="13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400" w:firstLineChars="200"/>
        <w:contextualSpacing/>
        <w:jc w:val="right"/>
        <w:rPr>
          <w:rFonts w:hint="default" w:ascii="Times New Roman" w:hAnsi="Times New Roman" w:cs="Times New Roman" w:eastAsiaTheme="minorEastAsia"/>
          <w:bCs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>(Continued)</w:t>
      </w:r>
    </w:p>
    <w:p>
      <w:pPr>
        <w:spacing w:line="360" w:lineRule="auto"/>
        <w:ind w:firstLine="400" w:firstLineChars="200"/>
        <w:contextualSpacing/>
        <w:jc w:val="center"/>
        <w:rPr>
          <w:rFonts w:hint="default" w:ascii="Times New Roman" w:hAnsi="Times New Roman" w:cs="Times New Roman"/>
          <w:bCs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00" w:firstLineChars="200"/>
        <w:contextualSpacing/>
        <w:jc w:val="center"/>
        <w:rPr>
          <w:rFonts w:hint="default" w:ascii="Times New Roman" w:hAnsi="Times New Roman" w:cs="Times New Roman"/>
          <w:bCs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(Continued).</w:t>
      </w:r>
    </w:p>
    <w:tbl>
      <w:tblPr>
        <w:tblStyle w:val="2"/>
        <w:tblW w:w="934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1704"/>
        <w:gridCol w:w="1596"/>
        <w:gridCol w:w="1091"/>
        <w:gridCol w:w="1770"/>
        <w:gridCol w:w="8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3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Clinical variables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mOS（months）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P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HR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95% CI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organs with EMs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0.042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0.792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 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0.848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0.249-2.884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≥2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Controlled of primary cancer and EMs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0.132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33.7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0.321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0.073-1.410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GPA scores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0.086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0.566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0-2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2.5-3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1.362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0.411-4.515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0.614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3.5-4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0.578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0.073-4.572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0.604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RPA class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0.206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23.8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2.802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0.408-19.256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0.234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0.014-3.972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Genetic mutations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0.065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 w:colFirst="0" w:colLast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EGFR positive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gen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 positiv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12.423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1.084-142.297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0.043 </w:t>
            </w: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Wild type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29.5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0.576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0.123-2.699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0.484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0.675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0.117-3.880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0.094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0.118 </w:t>
            </w: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0.027-0.504</w:t>
            </w: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0.315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Supportived therapy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Targeted therapy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Chemotherapy+Targeted 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Targeted therapy with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SRT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0.597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EGFR-TKI 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ALK/ROS1-TKI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VEGFR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SRT technology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0.544 </w:t>
            </w: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TOMO 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VMAT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>Abbreviations: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mOS, median overall survival; HR, hazard ratio; CI, confidence interval; KPS, Karnofsky Performance Scale; BMs, brain metastases; NSCLC BMs, the time interval from cancer diagnosis to confifirmed BMs; EMs, extracranial metastases; GPA, graded prognostic assessment; RPA, recursive partitioning analysis; EGFR, epidermal growth factor receptor; ALK, anaplastic lymphoma kinase; ROS 1, c-ros oncogene 1 receptor kinase; VEGFR, anti-vascular endothelial growth factor; TKIs, tyrosine kinase inhibitors; HSRT, hypofractionated stereotactic radiotherapy; TOMO, helical tomotherapy; VMAT, volumetric modulated arc therapy.</w:t>
      </w: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2681"/>
        </w:tabs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spacing w:line="360" w:lineRule="auto"/>
        <w:contextualSpacing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</w:pPr>
    </w:p>
    <w:p>
      <w:pPr>
        <w:spacing w:line="360" w:lineRule="auto"/>
        <w:contextualSpacing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 xml:space="preserve"> Univariate and multivariate analysis for iLPFS</w:t>
      </w:r>
    </w:p>
    <w:tbl>
      <w:tblPr>
        <w:tblStyle w:val="2"/>
        <w:tblW w:w="1031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676"/>
        <w:gridCol w:w="1596"/>
        <w:gridCol w:w="828"/>
        <w:gridCol w:w="1617"/>
        <w:gridCol w:w="126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370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Median iLPFS(months）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0.167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Age,years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0.616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＞60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KPS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0.006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0.478 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0.132-1.728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The first diagnosis is BM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0.954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NSCLC-BMs,months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0.593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＞6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Pathological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4.952 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1.074-22.832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Neurological symptom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0.500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 of BMs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0.143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Epencephalon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Cerebrum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Epencephalon+Cerebrum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BMs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0.998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 size,cm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0.850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0.044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0.978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0.981 </w:t>
            </w:r>
          </w:p>
        </w:tc>
        <w:tc>
          <w:tcPr>
            <w:tcW w:w="16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0.255-3.773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400" w:firstLineChars="200"/>
        <w:contextualSpacing/>
        <w:jc w:val="right"/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>(Continued)</w:t>
      </w:r>
    </w:p>
    <w:p>
      <w:pPr>
        <w:widowControl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(Continued).</w:t>
      </w:r>
    </w:p>
    <w:tbl>
      <w:tblPr>
        <w:tblStyle w:val="2"/>
        <w:tblW w:w="1031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676"/>
        <w:gridCol w:w="1596"/>
        <w:gridCol w:w="989"/>
        <w:gridCol w:w="1585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370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Median iLPFS(months）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organs with 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0.115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≥2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Controlled of primary cancer and 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0.506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0.135-1.898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GPA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0.165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0-2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2.5-3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3.5-4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RPA class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6.565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1.113-38.726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0.603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0.042-8.602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Genetic mutations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0.023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EGFR positive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gen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 positiv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7.715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1.059-56.230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Wild type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0.340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0.078-1.478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0.373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0.062-2.224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0.033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0.124 </w:t>
            </w: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0.029-0.536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0.157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Supportived 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Targeted 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Chemotherapy+Targeted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Targeted therapy with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SRT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0.711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EGFR-TKI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ALK/ROS1-TKI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VEGFR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SRT technology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0.704 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TOMO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VMAT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>Abbreviations: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iLPFS, intracranial local progression-free survival; HR, hazard ratio; CI, confidence interval; KPS, Karnofsky Performance Scale; BMs, brain metastases; NSCLC BMs, the time interval from cancer diagnosis to confifirmed BMs; EMs, extracranial metastases; GPA, graded prognostic assessment; RPA, recursive partitioning analysis; EGFR, epidermal growth factor receptor; ALK, anaplastic lymphoma kinase; ROS 1, c-ros oncogene 1 receptor kinase; VEGFR, anti-vascular endothelial growth factor; TKIs, tyrosine kinase inhibitors; HSRT, hypofractionated stereotactic radiotherapy; TOMO, helical tomotherapy; VMAT, volumetric modulated arc therapy.</w:t>
      </w: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</w:p>
    <w:p>
      <w:pPr>
        <w:spacing w:line="360" w:lineRule="auto"/>
        <w:contextualSpacing/>
        <w:jc w:val="both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</w:pPr>
    </w:p>
    <w:p>
      <w:pPr>
        <w:spacing w:line="360" w:lineRule="auto"/>
        <w:contextualSpacing/>
        <w:jc w:val="both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</w:pPr>
    </w:p>
    <w:p>
      <w:pPr>
        <w:spacing w:line="360" w:lineRule="auto"/>
        <w:contextualSpacing/>
        <w:jc w:val="both"/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 xml:space="preserve"> Univariate and multivariate analysis for iRPFS</w:t>
      </w:r>
    </w:p>
    <w:tbl>
      <w:tblPr>
        <w:tblStyle w:val="2"/>
        <w:tblW w:w="1031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676"/>
        <w:gridCol w:w="1596"/>
        <w:gridCol w:w="898"/>
        <w:gridCol w:w="1754"/>
        <w:gridCol w:w="105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265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Median iRPFS（months）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0.127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Age,years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0.541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＞60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KPS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0.005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0.399 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0.114-1.401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The first diagnosis is BM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0.791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NSCLC-BMs,months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0.514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＞6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Pathological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4.469 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1.023-19.528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Neurological symptom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0.495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 of BMs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0.181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Epencephalon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Cerebrum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Epencephalon+Cerebrum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BMs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0.974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 size,cm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0.962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0.040 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1.176 </w:t>
            </w:r>
          </w:p>
        </w:tc>
        <w:tc>
          <w:tcPr>
            <w:tcW w:w="17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0.257-5.383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400" w:firstLineChars="200"/>
        <w:contextualSpacing/>
        <w:jc w:val="right"/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>(Continued)</w:t>
      </w:r>
    </w:p>
    <w:p>
      <w:pPr>
        <w:widowControl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bCs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(Continued).</w:t>
      </w:r>
    </w:p>
    <w:tbl>
      <w:tblPr>
        <w:tblStyle w:val="2"/>
        <w:tblW w:w="1031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676"/>
        <w:gridCol w:w="1596"/>
        <w:gridCol w:w="1056"/>
        <w:gridCol w:w="1596"/>
        <w:gridCol w:w="10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265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Median iRPFS（months）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organs with 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0.121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≥2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Controlled of primary cancer and 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0.402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23.7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0.554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0.139-2.204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GPA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0.093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0-2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2.5-3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1.298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0.379-4.439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0.678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3.5-4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0.434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0.072-2.624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0.363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RPA class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0.194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25.1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2.970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0.493-17.898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0.366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0.022-5.974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0.481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Genetic mutations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0.034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EGFR positive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gen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 positiv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13.517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1.678-108.913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Wild type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0.775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0.163-3.694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0.749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0.759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0.108-5.316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0.097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0.147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0.031-0.707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Other treatments 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0.309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Supportived 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Targeted 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Chemotherapy+Targeted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Targeted therapy with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SRT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0.670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EGFR-TKI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ALK/ROS1-TKI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VEGFR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SRT technology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0.574 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TOMO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VMAT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>Abbreviations: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iRPFS, intracranial regional progression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20"/>
          <w:szCs w:val="20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>free survival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20"/>
          <w:szCs w:val="20"/>
        </w:rPr>
        <w:t>;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HR, hazard ratio; CI, confidence interval; KPS, Karnofsky Performance Scale; BMs, brain metastases; NSCLC BMs, the time interval from cancer diagnosis to confifirmed BMs; EMs, extracranial metastases; GPA, graded prognostic assessment; RPA, recursive partitioning analysis; EGFR, epidermal growth factor receptor; ALK, anaplastic lymphoma kinase; ROS 1, c-ros oncogene 1 receptor kinase; VEGFR, anti-vascular endothelial growth factor; TKIs, tyrosine kinase inhibitors; HSRT, hypofractionated stereotactic radiotherapy; TOMO, helical tomotherapy; VMAT, volumetric modulated arc therapy.</w:t>
      </w: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</w:rPr>
        <w:t>Secondary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  <w:lang w:val="en-US" w:eastAsia="zh-CN"/>
        </w:rPr>
        <w:t>u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>nivariate and multivariate analysis for OS</w:t>
      </w:r>
    </w:p>
    <w:tbl>
      <w:tblPr>
        <w:tblStyle w:val="2"/>
        <w:tblW w:w="9666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028"/>
        <w:gridCol w:w="1596"/>
        <w:gridCol w:w="850"/>
        <w:gridCol w:w="1564"/>
        <w:gridCol w:w="129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3708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mOS（months）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0.053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32.8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26.3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2.140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0.375-12.218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KPS scores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≤70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12.7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＞70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31.7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0.178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0.042-0.757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Pathological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31.9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12.4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9.484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1.722-52.216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0.012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32.1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24.5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3.346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0.595-18.819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 of organs with EMs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0.042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32.1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16.7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0.730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0.180-2.968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≥2个 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24.4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Controlled of primary cancer and EMs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10.5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33.7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0.276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0.059-1.287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GPA scores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0.086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0.375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0-2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22.4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2.5-3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28.7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1.583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0.456-5.493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0.469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3.5-4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30.1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0.505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0.058-4.413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0.536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RPA class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36.0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23.8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2.552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0.379-17.197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19.3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0.174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0.010-3.127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Genetic mutations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0.065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EGFR positive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27.9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gen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 positiv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11.8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10.921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0.922-129.369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Wild type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29.5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0.329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0.047-2.305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24.1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0.409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0.052-3.220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20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0.315 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Supportived 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22.7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30.1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0.123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0.021-0.731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Targeted therapy</w:t>
            </w:r>
          </w:p>
        </w:tc>
        <w:tc>
          <w:tcPr>
            <w:tcW w:w="202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31.1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0.041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0.003-0.547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Chemotherapy+Targeted 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27.9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0.154 </w:t>
            </w:r>
          </w:p>
        </w:tc>
        <w:tc>
          <w:tcPr>
            <w:tcW w:w="156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0.025-0.959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0.045 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>Abbreviations: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mOS, median overall survival; HR, hazard ratio; CI, confidence interval; KPS, Karnofsky Performance Scale; EMs, extracranial metastases; GPA, graded prognostic assessment; RPA, recursive partitioning analysis; EGFR, epidermal growth factor receptor.</w:t>
      </w: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</w:rPr>
        <w:t>Secondary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  <w:lang w:val="en-US" w:eastAsia="zh-CN"/>
        </w:rPr>
        <w:t>u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sz w:val="20"/>
          <w:szCs w:val="20"/>
        </w:rPr>
        <w:t>nivariate and multivariate analysis for iLPFS</w:t>
      </w:r>
    </w:p>
    <w:tbl>
      <w:tblPr>
        <w:tblStyle w:val="2"/>
        <w:tblW w:w="1069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676"/>
        <w:gridCol w:w="1596"/>
        <w:gridCol w:w="1434"/>
        <w:gridCol w:w="1596"/>
        <w:gridCol w:w="105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Median iLPFS(months）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KPS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0.006 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0.128-1.749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Pathological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4.840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0.995-23.559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0.044 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0.251-3.781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Controlled of primary cancer and EMs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0.124-1.974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RPA class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6.592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1.117-38.926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0.598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0.041-8.612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Genetic mutations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0.023 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EGFR positive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18.4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gen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 positiv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7.548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0.964-59.132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Wild type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0.076-1.496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0.153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0.370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0.061-2.231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0.278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treatments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0.157 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Supportived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15.6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0.021-0.783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Targeted 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0.118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0.020-0.702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Chemotherapy+Targeted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0.019-0.875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0.036 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>Abbreviations: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iLPFS, intracranial local progression-free survival; HR, hazard ratio; CI, confidence interval; KPS, Karnofsky Performance Scale; EMs, extracranial metastases; RPA, recursive partitioning analysis; EGFR, epidermal growth factor receptor.</w:t>
      </w: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>
      <w:pPr>
        <w:jc w:val="left"/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</w:pPr>
    </w:p>
    <w:p>
      <w:pPr>
        <w:jc w:val="left"/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sz w:val="20"/>
          <w:szCs w:val="20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</w:rPr>
        <w:t>Secondary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  <w:lang w:val="en-US" w:eastAsia="zh-CN"/>
        </w:rPr>
        <w:t>u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000000"/>
          <w:sz w:val="20"/>
          <w:szCs w:val="20"/>
        </w:rPr>
        <w:t>nivariate and multivariate analysis for iRPFS</w:t>
      </w:r>
    </w:p>
    <w:tbl>
      <w:tblPr>
        <w:tblStyle w:val="2"/>
        <w:tblW w:w="1069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4"/>
        <w:gridCol w:w="2676"/>
        <w:gridCol w:w="1596"/>
        <w:gridCol w:w="1434"/>
        <w:gridCol w:w="1596"/>
        <w:gridCol w:w="10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  <w:tc>
          <w:tcPr>
            <w:tcW w:w="15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variables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Median iRPFS(months）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KPS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0.005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＞70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0.450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0.120-1.690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Pathological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Adenocarcinoma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4.205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0.918-19.253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0.040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0.565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21.8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1.612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0.317-8.211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Controlled of primary cancer and EMs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0.452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23.7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0.132-2.462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GPA scores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0.093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0.242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0-2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2.5-3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1.643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0.464-5.815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0.441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3.5-4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0.332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0.044-2.530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0.287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RPA class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25.1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2.311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0.359-14.888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0.378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III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0.021-5.994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Genetic mutations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0.034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EGFR positive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gen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 positiv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9.763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1.026-92.852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Wild type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21.7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0.131-2.484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0.455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0.071-3.202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0.446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Other treatments 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0.309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0.124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Supportived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16.5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17.4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0.137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0.018-1.048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Targeted therapy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22.1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0.012-0.798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233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Chemotherapy+Targeted </w:t>
            </w:r>
          </w:p>
        </w:tc>
        <w:tc>
          <w:tcPr>
            <w:tcW w:w="26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19.9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0.236 </w:t>
            </w:r>
          </w:p>
        </w:tc>
        <w:tc>
          <w:tcPr>
            <w:tcW w:w="159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0.041-1.372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0.108 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olor w:val="000000"/>
          <w:kern w:val="0"/>
          <w:sz w:val="20"/>
          <w:szCs w:val="20"/>
        </w:rPr>
        <w:t>Abbreviations: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 xml:space="preserve"> iRPFS, intracranial regional progression</w:t>
      </w:r>
      <w:r>
        <w:rPr>
          <w:rFonts w:hint="default" w:ascii="Times New Roman" w:hAnsi="Times New Roman" w:cs="Times New Roman" w:eastAsiaTheme="minorEastAsia"/>
          <w:i w:val="0"/>
          <w:iCs w:val="0"/>
          <w:kern w:val="0"/>
          <w:sz w:val="20"/>
          <w:szCs w:val="20"/>
        </w:rPr>
        <w:t>-</w:t>
      </w:r>
      <w:r>
        <w:rPr>
          <w:rFonts w:hint="default" w:ascii="Times New Roman" w:hAnsi="Times New Roman" w:cs="Times New Roman" w:eastAsiaTheme="minorEastAsia"/>
          <w:i w:val="0"/>
          <w:iCs w:val="0"/>
          <w:color w:val="000000"/>
          <w:kern w:val="0"/>
          <w:sz w:val="20"/>
          <w:szCs w:val="20"/>
        </w:rPr>
        <w:t>free survival; HR, hazard ratio; CI, confidence interval; KPS, Karnofsky Performance Scale; EMs, extracranial metastases; GPA, graded prognostic assessment; RPA, recursive partitioning analysis; EGFR, epidermal growth factor receptor.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06A41"/>
    <w:rsid w:val="12CB439D"/>
    <w:rsid w:val="16894176"/>
    <w:rsid w:val="1E85037A"/>
    <w:rsid w:val="20ED67DB"/>
    <w:rsid w:val="212E27D4"/>
    <w:rsid w:val="21D26321"/>
    <w:rsid w:val="23583727"/>
    <w:rsid w:val="264255A4"/>
    <w:rsid w:val="328758B6"/>
    <w:rsid w:val="34DB6BEF"/>
    <w:rsid w:val="36102BC2"/>
    <w:rsid w:val="3CA75548"/>
    <w:rsid w:val="45395BA9"/>
    <w:rsid w:val="681C00DE"/>
    <w:rsid w:val="688D76A4"/>
    <w:rsid w:val="6E543443"/>
    <w:rsid w:val="7C99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15188039661</cp:lastModifiedBy>
  <dcterms:modified xsi:type="dcterms:W3CDTF">2020-02-22T05:53:49Z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